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6CF81" w14:textId="36D1B7FE" w:rsidR="00254D6D" w:rsidRPr="006E473F" w:rsidRDefault="00254D6D" w:rsidP="00254D6D">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6</w:t>
      </w:r>
      <w:r w:rsidR="003F6048">
        <w:rPr>
          <w:b/>
          <w:i/>
          <w:noProof/>
          <w:sz w:val="24"/>
          <w:szCs w:val="24"/>
          <w:lang w:eastAsia="ko-KR"/>
        </w:rPr>
        <w:t>4016</w:t>
      </w:r>
    </w:p>
    <w:bookmarkEnd w:id="0"/>
    <w:bookmarkEnd w:id="1"/>
    <w:p w14:paraId="75D37182" w14:textId="77777777" w:rsidR="00254D6D" w:rsidRPr="00DD3A0A" w:rsidRDefault="00254D6D" w:rsidP="00254D6D">
      <w:pPr>
        <w:pStyle w:val="CRCoverPage"/>
        <w:spacing w:after="240"/>
        <w:outlineLvl w:val="0"/>
        <w:rPr>
          <w:b/>
          <w:noProof/>
          <w:sz w:val="22"/>
          <w:szCs w:val="24"/>
        </w:rPr>
      </w:pPr>
      <w:r w:rsidRPr="00DD3A0A">
        <w:rPr>
          <w:rFonts w:eastAsia="MS Mincho" w:cs="Arial" w:hint="eastAsia"/>
          <w:b/>
          <w:bCs/>
          <w:sz w:val="24"/>
          <w:lang w:val="en-US" w:eastAsia="ja-JP"/>
        </w:rPr>
        <w:t>N</w:t>
      </w:r>
      <w:r w:rsidRPr="00DD3A0A">
        <w:rPr>
          <w:rFonts w:eastAsia="MS Mincho" w:cs="Arial"/>
          <w:b/>
          <w:bCs/>
          <w:sz w:val="24"/>
          <w:lang w:val="en-US" w:eastAsia="ja-JP"/>
        </w:rPr>
        <w:t>a</w:t>
      </w:r>
      <w:r w:rsidRPr="00DD3A0A">
        <w:rPr>
          <w:rFonts w:eastAsia="MS Mincho" w:cs="Arial" w:hint="eastAsia"/>
          <w:b/>
          <w:bCs/>
          <w:sz w:val="24"/>
          <w:lang w:val="en-US" w:eastAsia="ja-JP"/>
        </w:rPr>
        <w:t>njing</w:t>
      </w:r>
      <w:r w:rsidRPr="00DD3A0A">
        <w:rPr>
          <w:rFonts w:eastAsia="MS Mincho" w:cs="Arial"/>
          <w:b/>
          <w:bCs/>
          <w:sz w:val="24"/>
          <w:lang w:val="en-US" w:eastAsia="ja-JP"/>
        </w:rPr>
        <w:t>,</w:t>
      </w:r>
      <w:r w:rsidRPr="00DD3A0A">
        <w:rPr>
          <w:rFonts w:eastAsia="MS Mincho" w:cs="Arial" w:hint="eastAsia"/>
          <w:b/>
          <w:bCs/>
          <w:sz w:val="24"/>
          <w:lang w:val="en-US" w:eastAsia="ja-JP"/>
        </w:rPr>
        <w:t xml:space="preserve"> China</w:t>
      </w:r>
      <w:r w:rsidRPr="00DD3A0A">
        <w:rPr>
          <w:rFonts w:eastAsia="MS Mincho" w:cs="Arial"/>
          <w:b/>
          <w:bCs/>
          <w:sz w:val="24"/>
          <w:lang w:val="en-US" w:eastAsia="ja-JP"/>
        </w:rPr>
        <w:t xml:space="preserve"> </w:t>
      </w:r>
      <w:r w:rsidRPr="00DD3A0A">
        <w:rPr>
          <w:rFonts w:eastAsia="MS Mincho" w:cs="Arial" w:hint="eastAsia"/>
          <w:b/>
          <w:bCs/>
          <w:sz w:val="24"/>
          <w:lang w:val="en-US" w:eastAsia="ja-JP"/>
        </w:rPr>
        <w:t>23</w:t>
      </w:r>
      <w:r w:rsidRPr="00DD3A0A">
        <w:rPr>
          <w:rFonts w:eastAsia="MS Mincho" w:cs="Arial" w:hint="eastAsia"/>
          <w:b/>
          <w:bCs/>
          <w:sz w:val="24"/>
          <w:vertAlign w:val="superscript"/>
          <w:lang w:val="en-US" w:eastAsia="ja-JP"/>
        </w:rPr>
        <w:t>rd</w:t>
      </w:r>
      <w:r w:rsidRPr="00DD3A0A">
        <w:rPr>
          <w:rFonts w:eastAsia="MS Mincho" w:cs="Arial" w:hint="eastAsia"/>
          <w:b/>
          <w:bCs/>
          <w:sz w:val="24"/>
          <w:lang w:val="en-US" w:eastAsia="ja-JP"/>
        </w:rPr>
        <w:t xml:space="preserve"> </w:t>
      </w:r>
      <w:r w:rsidRPr="00DD3A0A">
        <w:rPr>
          <w:rFonts w:eastAsia="MS Mincho" w:cs="Arial"/>
          <w:b/>
          <w:bCs/>
          <w:sz w:val="24"/>
          <w:lang w:val="en-US" w:eastAsia="ja-JP"/>
        </w:rPr>
        <w:t xml:space="preserve">- </w:t>
      </w:r>
      <w:r w:rsidRPr="00DD3A0A">
        <w:rPr>
          <w:rFonts w:eastAsia="MS Mincho" w:cs="Arial" w:hint="eastAsia"/>
          <w:b/>
          <w:bCs/>
          <w:sz w:val="24"/>
          <w:lang w:val="en-US" w:eastAsia="ja-JP"/>
        </w:rPr>
        <w:t>27</w:t>
      </w:r>
      <w:r w:rsidRPr="00DD3A0A">
        <w:rPr>
          <w:rFonts w:eastAsia="MS Mincho" w:cs="Arial" w:hint="eastAsia"/>
          <w:b/>
          <w:bCs/>
          <w:sz w:val="24"/>
          <w:vertAlign w:val="superscript"/>
          <w:lang w:val="en-US" w:eastAsia="ja-JP"/>
        </w:rPr>
        <w:t>th</w:t>
      </w:r>
      <w:r w:rsidRPr="00DD3A0A">
        <w:rPr>
          <w:rFonts w:eastAsia="MS Mincho" w:cs="Arial" w:hint="eastAsia"/>
          <w:b/>
          <w:bCs/>
          <w:sz w:val="24"/>
          <w:lang w:val="en-US" w:eastAsia="ja-JP"/>
        </w:rPr>
        <w:t xml:space="preserve"> May</w:t>
      </w:r>
      <w:r w:rsidRPr="00DD3A0A">
        <w:rPr>
          <w:rFonts w:eastAsia="MS Mincho" w:cs="Arial"/>
          <w:b/>
          <w:bCs/>
          <w:sz w:val="24"/>
          <w:lang w:val="en-US" w:eastAsia="ja-JP"/>
        </w:rPr>
        <w:t xml:space="preserve"> 201</w:t>
      </w:r>
      <w:r w:rsidRPr="00DD3A0A">
        <w:rPr>
          <w:rFonts w:eastAsia="MS Mincho" w:cs="Arial" w:hint="eastAsia"/>
          <w:b/>
          <w:bCs/>
          <w:sz w:val="24"/>
          <w:lang w:val="en-US" w:eastAsia="ja-JP"/>
        </w:rPr>
        <w:t>6</w:t>
      </w:r>
    </w:p>
    <w:p w14:paraId="35436E35" w14:textId="77777777"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sz w:val="24"/>
          <w:lang w:eastAsia="ko-KR"/>
        </w:rPr>
        <w:t>7.1.6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5EDF62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4D6D">
        <w:rPr>
          <w:rFonts w:ascii="Arial" w:hAnsi="Arial"/>
          <w:sz w:val="24"/>
        </w:rPr>
        <w:t>UL MIMO framework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7CBB7CAF" w14:textId="77777777" w:rsidR="00685BF2" w:rsidRDefault="00685BF2" w:rsidP="00685BF2">
      <w:pPr>
        <w:pStyle w:val="maintext"/>
        <w:ind w:firstLine="400"/>
      </w:pPr>
      <w:r>
        <w:t xml:space="preserve">Among a number of features supported in LTE, MIMO has been indispensable for meeting system throughput requirements. Having undergone multiple stages of enhancements over Rel.8, it can be said that LTE Rel.14 will support a competitive MIMO system which facilitates various use cases and levels of trade-off.   </w:t>
      </w:r>
    </w:p>
    <w:p w14:paraId="3FAB5344" w14:textId="027A6095" w:rsidR="009F5246"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xml:space="preserve">’ </w:t>
      </w:r>
      <w:r w:rsidR="00685BF2">
        <w:t xml:space="preserve">(RAT) </w:t>
      </w:r>
      <w:r>
        <w:t>was approved [1]</w:t>
      </w:r>
      <w:r w:rsidR="003F00C5">
        <w:t xml:space="preserve"> </w:t>
      </w:r>
      <w:r w:rsidR="0032196E">
        <w:t>to</w:t>
      </w:r>
      <w:r w:rsidR="003F00C5">
        <w:t xml:space="preserve"> study and evaluate potential technologies </w:t>
      </w:r>
      <w:r w:rsidR="00C6489F">
        <w:t>targeted for meeting key 5G requirements under future 5G deployment scenarios and applications.</w:t>
      </w:r>
      <w:r w:rsidR="00685BF2">
        <w:t xml:space="preserve"> It is expected that MIMO continue to be as essential feature for this new RAT.  </w:t>
      </w:r>
    </w:p>
    <w:p w14:paraId="2AA61DC3" w14:textId="004E784C" w:rsidR="00AD6148" w:rsidRDefault="00C6489F" w:rsidP="008C3FDD">
      <w:pPr>
        <w:pStyle w:val="maintext"/>
        <w:ind w:firstLine="400"/>
      </w:pPr>
      <w:r w:rsidRPr="008C3FDD">
        <w:t xml:space="preserve">This contribution </w:t>
      </w:r>
      <w:r w:rsidR="00685BF2">
        <w:t>addresses</w:t>
      </w:r>
      <w:r w:rsidRPr="008C3FDD">
        <w:t xml:space="preserve"> general design principles </w:t>
      </w:r>
      <w:r w:rsidR="009F5246">
        <w:t xml:space="preserve">and </w:t>
      </w:r>
      <w:r w:rsidR="00685BF2">
        <w:t xml:space="preserve">basic components for </w:t>
      </w:r>
      <w:r w:rsidR="000726F5">
        <w:t xml:space="preserve">UL </w:t>
      </w:r>
      <w:r w:rsidR="00685BF2">
        <w:t xml:space="preserve">MIMO in the context of the new RAT. Section </w:t>
      </w:r>
      <w:r w:rsidR="00685BF2">
        <w:fldChar w:fldCharType="begin"/>
      </w:r>
      <w:r w:rsidR="00685BF2">
        <w:instrText xml:space="preserve"> REF _Ref446598547 \r \h </w:instrText>
      </w:r>
      <w:r w:rsidR="00685BF2">
        <w:fldChar w:fldCharType="separate"/>
      </w:r>
      <w:r w:rsidR="00685BF2">
        <w:t>2</w:t>
      </w:r>
      <w:r w:rsidR="00685BF2">
        <w:fldChar w:fldCharType="end"/>
      </w:r>
      <w:r w:rsidR="00685BF2">
        <w:t xml:space="preserve"> addresses design principles for UL, followed by discussions on basic components for UL in Section </w:t>
      </w:r>
      <w:r w:rsidR="00E81B5B">
        <w:fldChar w:fldCharType="begin"/>
      </w:r>
      <w:r w:rsidR="00E81B5B">
        <w:instrText xml:space="preserve"> REF _Ref446598629 \r \h </w:instrText>
      </w:r>
      <w:r w:rsidR="00E81B5B">
        <w:fldChar w:fldCharType="separate"/>
      </w:r>
      <w:r w:rsidR="00E81B5B">
        <w:t>3</w:t>
      </w:r>
      <w:r w:rsidR="00E81B5B">
        <w:fldChar w:fldCharType="end"/>
      </w:r>
      <w:r w:rsidR="00685BF2">
        <w:t xml:space="preserve">. Section </w:t>
      </w:r>
      <w:r w:rsidR="000726F5">
        <w:t xml:space="preserve">4 </w:t>
      </w:r>
      <w:r w:rsidR="00685BF2">
        <w:t xml:space="preserve">concludes this contribution. </w:t>
      </w:r>
      <w:r w:rsidR="00601EA9">
        <w:t>For brevity, the term “</w:t>
      </w:r>
      <w:r w:rsidR="00601EA9">
        <w:rPr>
          <w:i/>
        </w:rPr>
        <w:t>NR</w:t>
      </w:r>
      <w:r w:rsidR="00601EA9" w:rsidRPr="00601EA9">
        <w:rPr>
          <w:i/>
        </w:rPr>
        <w:t xml:space="preserve"> MIMO</w:t>
      </w:r>
      <w:r w:rsidR="00601EA9">
        <w:t xml:space="preserve">” will be used to refer to MIMO system designed for 5G new radio interface. </w:t>
      </w:r>
    </w:p>
    <w:p w14:paraId="16FC02E6" w14:textId="77777777" w:rsidR="00CF1911" w:rsidRPr="008C3FDD" w:rsidRDefault="00CF1911" w:rsidP="008C3FDD">
      <w:pPr>
        <w:pStyle w:val="maintext"/>
        <w:ind w:firstLine="400"/>
      </w:pPr>
    </w:p>
    <w:p w14:paraId="41D0954F" w14:textId="77777777" w:rsidR="003E633B" w:rsidRPr="00234252" w:rsidRDefault="001D0B51" w:rsidP="00AD6148">
      <w:pPr>
        <w:pStyle w:val="Heading1"/>
        <w:rPr>
          <w:sz w:val="28"/>
        </w:rPr>
      </w:pPr>
      <w:bookmarkStart w:id="4" w:name="_Ref446598547"/>
      <w:r w:rsidRPr="00234252">
        <w:rPr>
          <w:sz w:val="28"/>
        </w:rPr>
        <w:t>Basic d</w:t>
      </w:r>
      <w:r w:rsidR="007A2CF0" w:rsidRPr="00234252">
        <w:rPr>
          <w:sz w:val="28"/>
        </w:rPr>
        <w:t>esign principles</w:t>
      </w:r>
      <w:bookmarkEnd w:id="4"/>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249134C" w14:textId="31CF6F27" w:rsidR="00E37559" w:rsidRDefault="00E37559" w:rsidP="00E37559">
      <w:pPr>
        <w:pStyle w:val="maintext"/>
        <w:ind w:firstLine="400"/>
      </w:pPr>
      <w:r>
        <w:t xml:space="preserve">In </w:t>
      </w:r>
      <w:r w:rsidR="003D2DB1">
        <w:t xml:space="preserve">Rel.10 </w:t>
      </w:r>
      <w:r>
        <w:t xml:space="preserve">LTE-A, </w:t>
      </w:r>
      <w:r w:rsidR="003D2DB1">
        <w:t xml:space="preserve">a </w:t>
      </w:r>
      <w:r w:rsidR="006749A6">
        <w:t>compact</w:t>
      </w:r>
      <w:r w:rsidR="003D2DB1">
        <w:t xml:space="preserve"> </w:t>
      </w:r>
      <w:r w:rsidR="008D0C43">
        <w:t xml:space="preserve">one-size-fit-all </w:t>
      </w:r>
      <w:r>
        <w:t>codebook-based UL MIMO system is supported where an UL grant (containing DCI format 4) including a single PMI field (along with RI). This PMI indicates the single precoding matrix used by the UE for the scheduled UL transmission. Therefore, wideband UL precoding is applied.</w:t>
      </w:r>
    </w:p>
    <w:p w14:paraId="5B07C2F3" w14:textId="13714ED5" w:rsidR="006749A6" w:rsidRPr="00306776" w:rsidRDefault="006749A6" w:rsidP="00D820D1">
      <w:pPr>
        <w:pStyle w:val="maintext"/>
        <w:ind w:firstLine="400"/>
        <w:rPr>
          <w:sz w:val="22"/>
        </w:rPr>
      </w:pPr>
      <w:r>
        <w:t>For NR MIMO, the following design principles are considered for system design</w:t>
      </w:r>
      <w:r w:rsidR="00306776">
        <w:t xml:space="preserve"> – summarized in </w:t>
      </w:r>
      <w:r w:rsidR="00306776" w:rsidRPr="00306776">
        <w:rPr>
          <w:sz w:val="22"/>
        </w:rPr>
        <w:fldChar w:fldCharType="begin"/>
      </w:r>
      <w:r w:rsidR="00306776" w:rsidRPr="00306776">
        <w:rPr>
          <w:sz w:val="22"/>
        </w:rPr>
        <w:instrText xml:space="preserve"> REF _Ref446608541 \h </w:instrText>
      </w:r>
      <w:r w:rsidR="00306776">
        <w:rPr>
          <w:sz w:val="22"/>
        </w:rPr>
        <w:instrText xml:space="preserve"> \* MERGEFORMAT </w:instrText>
      </w:r>
      <w:r w:rsidR="00306776" w:rsidRPr="00306776">
        <w:rPr>
          <w:sz w:val="22"/>
        </w:rPr>
      </w:r>
      <w:r w:rsidR="00306776" w:rsidRPr="00306776">
        <w:rPr>
          <w:sz w:val="22"/>
        </w:rPr>
        <w:fldChar w:fldCharType="separate"/>
      </w:r>
      <w:r w:rsidR="00306776" w:rsidRPr="00306776">
        <w:t xml:space="preserve">Table </w:t>
      </w:r>
      <w:r w:rsidR="00306776" w:rsidRPr="00306776">
        <w:rPr>
          <w:noProof/>
        </w:rPr>
        <w:t>1</w:t>
      </w:r>
      <w:r w:rsidR="00306776" w:rsidRPr="00306776">
        <w:rPr>
          <w:sz w:val="22"/>
        </w:rPr>
        <w:fldChar w:fldCharType="end"/>
      </w:r>
      <w:r w:rsidRPr="00306776">
        <w:rPr>
          <w:sz w:val="22"/>
        </w:rPr>
        <w:t>:</w:t>
      </w:r>
    </w:p>
    <w:p w14:paraId="194973A3" w14:textId="0AB90254" w:rsidR="00D820D1" w:rsidRDefault="00D820D1" w:rsidP="00D820D1">
      <w:pPr>
        <w:pStyle w:val="maintext"/>
        <w:numPr>
          <w:ilvl w:val="0"/>
          <w:numId w:val="21"/>
        </w:numPr>
        <w:ind w:firstLineChars="0"/>
      </w:pPr>
      <w:r>
        <w:t xml:space="preserve">Facilitate flexible trade-off between diversity and multiplexing gain over a wide range of </w:t>
      </w:r>
      <w:r w:rsidR="00B024C5">
        <w:t>scenarios</w:t>
      </w:r>
      <w:r>
        <w:t xml:space="preserve"> while striving for </w:t>
      </w:r>
      <w:r w:rsidRPr="00D820D1">
        <w:rPr>
          <w:i/>
        </w:rPr>
        <w:t>a single framework</w:t>
      </w:r>
      <w:r>
        <w:t>. For instance, the chosen MIMO transmission scheme can be configured to accommodate low- to high-speed UEs. This common framework is used for:</w:t>
      </w:r>
    </w:p>
    <w:p w14:paraId="76126F05" w14:textId="77777777" w:rsidR="00D820D1" w:rsidRDefault="00D820D1" w:rsidP="00D820D1">
      <w:pPr>
        <w:pStyle w:val="maintext"/>
        <w:numPr>
          <w:ilvl w:val="1"/>
          <w:numId w:val="21"/>
        </w:numPr>
        <w:ind w:firstLineChars="0"/>
      </w:pPr>
      <w:r>
        <w:t>Above-6GHz as sub-6GHz: Specific design constraints imposed by the use of analog/hybrid beamforming for above-6GHz (such as sweeping beam architecture) may be accommodated via a combination of potential specification support and system implementation. Some further study on this is needed.</w:t>
      </w:r>
    </w:p>
    <w:p w14:paraId="476F26E8" w14:textId="77777777" w:rsidR="00D820D1" w:rsidRDefault="00D820D1" w:rsidP="00D820D1">
      <w:pPr>
        <w:pStyle w:val="maintext"/>
        <w:numPr>
          <w:ilvl w:val="0"/>
          <w:numId w:val="21"/>
        </w:numPr>
        <w:ind w:firstLineChars="0"/>
      </w:pPr>
      <w:r>
        <w:t xml:space="preserve">Following a design principle from LTE, dual-polarized antenna array is assumed in designing MIMO components such as CSI reporting and codebook (whenever applicable). </w:t>
      </w:r>
    </w:p>
    <w:p w14:paraId="70D4628E" w14:textId="3543C350" w:rsidR="00BA0488" w:rsidRDefault="00BA0488" w:rsidP="00D820D1">
      <w:pPr>
        <w:pStyle w:val="maintext"/>
        <w:numPr>
          <w:ilvl w:val="0"/>
          <w:numId w:val="21"/>
        </w:numPr>
        <w:ind w:firstLineChars="0"/>
      </w:pPr>
      <w:r>
        <w:t xml:space="preserve">In terms of UL MIMO use cases, eMBB which requires high spectral efficiency is a clear use case. URLLC can also benefit from lower-rank UL beamforming. On the other hand, it may not be relevant for mMTC since mMTC UEs are low-cost UEs with lower complexity and power rating. </w:t>
      </w:r>
    </w:p>
    <w:p w14:paraId="055A5EC7" w14:textId="16BF4DE4" w:rsidR="00ED53B0" w:rsidRDefault="00ED53B0" w:rsidP="00ED53B0">
      <w:pPr>
        <w:pStyle w:val="maintext"/>
        <w:numPr>
          <w:ilvl w:val="1"/>
          <w:numId w:val="21"/>
        </w:numPr>
        <w:ind w:firstLineChars="0"/>
      </w:pPr>
      <w:r>
        <w:t xml:space="preserve">If a possible use case for SC-FDMA is only mMTC, UL NR-MIMO can be designed assuming OFDMA.   </w:t>
      </w:r>
    </w:p>
    <w:p w14:paraId="54266A78" w14:textId="5E6B8B07" w:rsidR="00306776" w:rsidRDefault="00D820D1" w:rsidP="00306776">
      <w:pPr>
        <w:pStyle w:val="maintext"/>
        <w:numPr>
          <w:ilvl w:val="0"/>
          <w:numId w:val="21"/>
        </w:numPr>
        <w:ind w:firstLineChars="0"/>
      </w:pPr>
      <w:r>
        <w:t xml:space="preserve">The maximum number of layers for DL and UL NR MIMO are kept the same as LTE. There is no strong motivation to increase the maximum spatial multiplexing gain for each UE as any increase in spectral efficiency from higher-order SU-MIMO transmission is unlikely. </w:t>
      </w:r>
    </w:p>
    <w:p w14:paraId="49F63215" w14:textId="77777777" w:rsidR="0032196E" w:rsidRPr="001D51D6" w:rsidRDefault="0032196E" w:rsidP="0032196E">
      <w:pPr>
        <w:pStyle w:val="Caption"/>
        <w:numPr>
          <w:ilvl w:val="0"/>
          <w:numId w:val="21"/>
        </w:numPr>
        <w:jc w:val="center"/>
        <w:rPr>
          <w:sz w:val="18"/>
        </w:rPr>
      </w:pPr>
      <w:bookmarkStart w:id="5"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5"/>
      <w:r w:rsidRPr="001D51D6">
        <w:rPr>
          <w:sz w:val="18"/>
        </w:rPr>
        <w:t xml:space="preserve"> </w:t>
      </w:r>
      <w:r w:rsidRPr="001D51D6">
        <w:rPr>
          <w:b w:val="0"/>
          <w:sz w:val="18"/>
        </w:rPr>
        <w:t>Basic design requirements</w:t>
      </w:r>
    </w:p>
    <w:tbl>
      <w:tblPr>
        <w:tblStyle w:val="TableGrid"/>
        <w:tblW w:w="0" w:type="auto"/>
        <w:tblInd w:w="378" w:type="dxa"/>
        <w:tblLook w:val="04A0" w:firstRow="1" w:lastRow="0" w:firstColumn="1" w:lastColumn="0" w:noHBand="0" w:noVBand="1"/>
      </w:tblPr>
      <w:tblGrid>
        <w:gridCol w:w="3780"/>
        <w:gridCol w:w="5580"/>
      </w:tblGrid>
      <w:tr w:rsidR="0032196E" w:rsidRPr="00662EA7" w14:paraId="736A857A" w14:textId="77777777" w:rsidTr="00AE432C">
        <w:tc>
          <w:tcPr>
            <w:tcW w:w="3780" w:type="dxa"/>
            <w:shd w:val="clear" w:color="auto" w:fill="FFC000"/>
          </w:tcPr>
          <w:p w14:paraId="04EC3E74"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76248E0D"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32196E" w:rsidRPr="00662EA7" w14:paraId="1A6AFBDB" w14:textId="77777777" w:rsidTr="00AE432C">
        <w:tc>
          <w:tcPr>
            <w:tcW w:w="3780" w:type="dxa"/>
          </w:tcPr>
          <w:p w14:paraId="588F83CB" w14:textId="77777777" w:rsidR="0032196E" w:rsidRPr="00662EA7" w:rsidRDefault="0032196E" w:rsidP="00AE432C">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14BFE0EF"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2024F0AA"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lastRenderedPageBreak/>
              <w:t>Macro- and small-cells;</w:t>
            </w:r>
          </w:p>
          <w:p w14:paraId="44317A4E"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FDD, flexible TDD;</w:t>
            </w:r>
          </w:p>
          <w:p w14:paraId="392DE64B"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Sub-6GHz and above-6GHz;</w:t>
            </w:r>
          </w:p>
          <w:p w14:paraId="30E88A90"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Low to high UE speeds as defined in the requirements for new radio interface;</w:t>
            </w:r>
          </w:p>
          <w:p w14:paraId="64187C72" w14:textId="68A08327" w:rsidR="0032196E" w:rsidRPr="00BA0488" w:rsidRDefault="00BA0488" w:rsidP="00BA0488">
            <w:pPr>
              <w:pStyle w:val="maintext"/>
              <w:spacing w:before="0" w:after="0" w:line="240" w:lineRule="auto"/>
              <w:ind w:firstLineChars="0" w:firstLine="0"/>
              <w:rPr>
                <w:rFonts w:ascii="Calibri" w:hAnsi="Calibri"/>
                <w:i/>
              </w:rPr>
            </w:pPr>
            <w:r w:rsidRPr="00BA0488">
              <w:rPr>
                <w:rFonts w:ascii="Calibri" w:hAnsi="Calibri"/>
                <w:i/>
              </w:rPr>
              <w:t>Use cases</w:t>
            </w:r>
            <w:r w:rsidR="0032196E" w:rsidRPr="00BA0488">
              <w:rPr>
                <w:rFonts w:ascii="Calibri" w:hAnsi="Calibri"/>
                <w:i/>
              </w:rPr>
              <w:t xml:space="preserve">: eMBB, URLLC </w:t>
            </w:r>
          </w:p>
        </w:tc>
      </w:tr>
      <w:tr w:rsidR="0032196E" w:rsidRPr="00662EA7" w14:paraId="2B846D7E" w14:textId="77777777" w:rsidTr="00AE432C">
        <w:tc>
          <w:tcPr>
            <w:tcW w:w="3780" w:type="dxa"/>
          </w:tcPr>
          <w:p w14:paraId="154CBD41"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lastRenderedPageBreak/>
              <w:t>Antenna array</w:t>
            </w:r>
          </w:p>
        </w:tc>
        <w:tc>
          <w:tcPr>
            <w:tcW w:w="5580" w:type="dxa"/>
          </w:tcPr>
          <w:p w14:paraId="3C051F09"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Dual-polarized </w:t>
            </w:r>
          </w:p>
        </w:tc>
      </w:tr>
      <w:tr w:rsidR="0032196E" w:rsidRPr="00662EA7" w14:paraId="59D562D4" w14:textId="77777777" w:rsidTr="00AE432C">
        <w:tc>
          <w:tcPr>
            <w:tcW w:w="3780" w:type="dxa"/>
          </w:tcPr>
          <w:p w14:paraId="126950B8"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Multiple access schemes</w:t>
            </w:r>
          </w:p>
        </w:tc>
        <w:tc>
          <w:tcPr>
            <w:tcW w:w="5580" w:type="dxa"/>
          </w:tcPr>
          <w:p w14:paraId="6D4A636E" w14:textId="37605EB5" w:rsidR="0032196E" w:rsidRPr="00662EA7" w:rsidRDefault="0032196E" w:rsidP="00AE432C">
            <w:pPr>
              <w:pStyle w:val="maintext"/>
              <w:spacing w:before="0" w:after="0" w:line="240" w:lineRule="auto"/>
              <w:ind w:firstLineChars="0" w:firstLine="0"/>
              <w:rPr>
                <w:rFonts w:ascii="Calibri" w:hAnsi="Calibri"/>
              </w:rPr>
            </w:pPr>
            <w:r>
              <w:rPr>
                <w:rFonts w:ascii="Calibri" w:hAnsi="Calibri"/>
              </w:rPr>
              <w:t>UL: OFDMA (primary), SC-FDMA</w:t>
            </w:r>
            <w:r w:rsidR="00FF2AE9">
              <w:rPr>
                <w:rFonts w:ascii="Calibri" w:hAnsi="Calibri"/>
              </w:rPr>
              <w:t xml:space="preserve"> (secondary, if applicable)</w:t>
            </w:r>
            <w:bookmarkStart w:id="6" w:name="_GoBack"/>
            <w:bookmarkEnd w:id="6"/>
          </w:p>
        </w:tc>
      </w:tr>
      <w:tr w:rsidR="0032196E" w:rsidRPr="00662EA7" w14:paraId="5C39691B" w14:textId="77777777" w:rsidTr="00AE432C">
        <w:tc>
          <w:tcPr>
            <w:tcW w:w="3780" w:type="dxa"/>
          </w:tcPr>
          <w:p w14:paraId="6A3D4032" w14:textId="77777777" w:rsidR="0032196E" w:rsidRPr="00662EA7" w:rsidRDefault="0032196E" w:rsidP="00AE432C">
            <w:pPr>
              <w:pStyle w:val="maintext"/>
              <w:spacing w:before="0" w:after="0" w:line="240" w:lineRule="auto"/>
              <w:ind w:firstLineChars="0" w:firstLine="0"/>
              <w:jc w:val="left"/>
              <w:rPr>
                <w:rFonts w:ascii="Calibri" w:hAnsi="Calibri"/>
              </w:rPr>
            </w:pPr>
            <w:r>
              <w:rPr>
                <w:rFonts w:ascii="Calibri" w:hAnsi="Calibri"/>
              </w:rPr>
              <w:t>Max. no. UL layers per UE</w:t>
            </w:r>
          </w:p>
        </w:tc>
        <w:tc>
          <w:tcPr>
            <w:tcW w:w="5580" w:type="dxa"/>
          </w:tcPr>
          <w:p w14:paraId="4AD4AE8E" w14:textId="77777777" w:rsidR="0032196E" w:rsidRPr="006166FB" w:rsidRDefault="0032196E" w:rsidP="00AE432C">
            <w:pPr>
              <w:pStyle w:val="maintext"/>
              <w:spacing w:before="0" w:after="0" w:line="240" w:lineRule="auto"/>
              <w:ind w:firstLineChars="0" w:firstLine="0"/>
              <w:rPr>
                <w:rFonts w:ascii="Calibri" w:hAnsi="Calibri"/>
                <w:b/>
              </w:rPr>
            </w:pPr>
            <w:r w:rsidRPr="006166FB">
              <w:rPr>
                <w:rFonts w:ascii="Calibri" w:hAnsi="Calibri"/>
                <w:b/>
              </w:rPr>
              <w:t>4</w:t>
            </w:r>
          </w:p>
        </w:tc>
      </w:tr>
    </w:tbl>
    <w:p w14:paraId="6DB81478" w14:textId="77777777" w:rsidR="0032196E" w:rsidRDefault="0032196E" w:rsidP="0032196E">
      <w:pPr>
        <w:pStyle w:val="maintext"/>
        <w:ind w:left="1217" w:firstLineChars="0" w:firstLine="0"/>
      </w:pPr>
    </w:p>
    <w:p w14:paraId="53950B4D" w14:textId="7E0AE151" w:rsidR="008D0C43" w:rsidRDefault="005D6069" w:rsidP="00E37559">
      <w:pPr>
        <w:pStyle w:val="maintext"/>
        <w:ind w:firstLine="400"/>
      </w:pPr>
      <w:r>
        <w:t xml:space="preserve">Based on the above principles, </w:t>
      </w:r>
      <w:r w:rsidR="006749A6">
        <w:t>the following enhancements over Rel.10 LTE can be studied</w:t>
      </w:r>
      <w:r w:rsidR="00B024C5">
        <w:t xml:space="preserve"> and will be discussed in the following sections.</w:t>
      </w:r>
    </w:p>
    <w:p w14:paraId="7B785B70" w14:textId="500042AD" w:rsidR="006749A6" w:rsidRDefault="006749A6" w:rsidP="006749A6">
      <w:pPr>
        <w:pStyle w:val="maintext"/>
        <w:numPr>
          <w:ilvl w:val="0"/>
          <w:numId w:val="20"/>
        </w:numPr>
        <w:ind w:firstLineChars="0"/>
      </w:pPr>
      <w:r>
        <w:t xml:space="preserve">Support for both dynamic </w:t>
      </w:r>
      <w:r w:rsidR="00B024C5">
        <w:t xml:space="preserve">(analogous to Rel.10 UL MIMO) </w:t>
      </w:r>
      <w:r>
        <w:t xml:space="preserve">and semi-dynamic </w:t>
      </w:r>
      <w:r w:rsidR="00B024C5">
        <w:t xml:space="preserve">(not yet supported) </w:t>
      </w:r>
      <w:r>
        <w:t>beamforming</w:t>
      </w:r>
      <w:r w:rsidR="00B024C5">
        <w:t xml:space="preserve"> wherein a UE can be configured with each of the two modes</w:t>
      </w:r>
    </w:p>
    <w:p w14:paraId="3DA58608" w14:textId="62B5237E" w:rsidR="006C02D8" w:rsidRDefault="002C256F" w:rsidP="00E9792A">
      <w:pPr>
        <w:pStyle w:val="maintext"/>
        <w:numPr>
          <w:ilvl w:val="0"/>
          <w:numId w:val="20"/>
        </w:numPr>
        <w:ind w:firstLineChars="0"/>
      </w:pPr>
      <w:r>
        <w:t xml:space="preserve">Support for frequency-selective (RB-specific) precoding for </w:t>
      </w:r>
      <w:r w:rsidR="00C316CD">
        <w:t xml:space="preserve">UL </w:t>
      </w:r>
      <w:r>
        <w:t>MIMO</w:t>
      </w:r>
      <w:r w:rsidR="00C316CD">
        <w:t xml:space="preserve"> in addition to frequency non-selective precoding</w:t>
      </w:r>
    </w:p>
    <w:p w14:paraId="4F1941BE" w14:textId="77777777" w:rsidR="00CF1911" w:rsidRDefault="00CF1911" w:rsidP="00CF1911">
      <w:pPr>
        <w:pStyle w:val="maintext"/>
        <w:ind w:left="1120" w:firstLineChars="0" w:firstLine="0"/>
      </w:pPr>
    </w:p>
    <w:p w14:paraId="567EC525" w14:textId="75334D6B" w:rsidR="003976FE" w:rsidRPr="00234252" w:rsidRDefault="003976FE" w:rsidP="003976FE">
      <w:pPr>
        <w:pStyle w:val="Heading1"/>
        <w:rPr>
          <w:sz w:val="28"/>
        </w:rPr>
      </w:pPr>
      <w:bookmarkStart w:id="7" w:name="_Ref446598635"/>
      <w:r w:rsidRPr="00234252">
        <w:rPr>
          <w:sz w:val="28"/>
        </w:rPr>
        <w:t>UL MIMO</w:t>
      </w:r>
      <w:bookmarkEnd w:id="7"/>
      <w:r w:rsidR="00775769" w:rsidRPr="00234252">
        <w:rPr>
          <w:sz w:val="28"/>
        </w:rPr>
        <w:t xml:space="preserve"> </w:t>
      </w:r>
      <w:r w:rsidR="00234252" w:rsidRPr="00234252">
        <w:rPr>
          <w:sz w:val="28"/>
        </w:rPr>
        <w:t>transmission</w:t>
      </w:r>
    </w:p>
    <w:p w14:paraId="585DF63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7BB19F6" w14:textId="1B7FCB2C" w:rsidR="003976FE" w:rsidRPr="00317BEA" w:rsidRDefault="00234252" w:rsidP="00253605">
      <w:pPr>
        <w:pStyle w:val="Heading2"/>
      </w:pPr>
      <w:bookmarkStart w:id="8" w:name="_Ref450308028"/>
      <w:r>
        <w:t xml:space="preserve">Beamforming </w:t>
      </w:r>
      <w:r w:rsidR="003976FE">
        <w:t>schemes</w:t>
      </w:r>
      <w:bookmarkEnd w:id="8"/>
    </w:p>
    <w:p w14:paraId="0ECF10A7" w14:textId="699EE58C" w:rsidR="006A3055" w:rsidRDefault="006A3055" w:rsidP="006A3055">
      <w:pPr>
        <w:spacing w:before="60" w:after="60" w:line="288" w:lineRule="auto"/>
        <w:ind w:firstLine="446"/>
        <w:jc w:val="both"/>
      </w:pPr>
      <w:r>
        <w:t xml:space="preserve">Analogous to </w:t>
      </w:r>
      <w:r w:rsidR="00EC3ACA">
        <w:t>DL NR MIMO</w:t>
      </w:r>
      <w:r w:rsidR="00E8614A">
        <w:t xml:space="preserve"> (see a companion contribution</w:t>
      </w:r>
      <w:r>
        <w:t xml:space="preserve"> </w:t>
      </w:r>
      <w:r>
        <w:fldChar w:fldCharType="begin"/>
      </w:r>
      <w:r>
        <w:instrText xml:space="preserve"> REF _Ref450262804 \r \h </w:instrText>
      </w:r>
      <w:r>
        <w:fldChar w:fldCharType="separate"/>
      </w:r>
      <w:r>
        <w:t>[2]</w:t>
      </w:r>
      <w:r>
        <w:fldChar w:fldCharType="end"/>
      </w:r>
      <w:r w:rsidR="00E8614A">
        <w:t>)</w:t>
      </w:r>
      <w:r w:rsidR="00EC3ACA">
        <w:t xml:space="preserve">, UL NR MIMO will benefit from dynamic and semi-dynamic </w:t>
      </w:r>
      <w:r w:rsidR="006166FB">
        <w:t>beamforming</w:t>
      </w:r>
      <w:r w:rsidR="00BA0488">
        <w:t xml:space="preserve"> as illustrated in </w:t>
      </w:r>
      <w:r w:rsidR="00BA0488" w:rsidRPr="00BA0488">
        <w:fldChar w:fldCharType="begin"/>
      </w:r>
      <w:r w:rsidR="00BA0488" w:rsidRPr="00BA0488">
        <w:instrText xml:space="preserve"> REF _Ref446632390 \h </w:instrText>
      </w:r>
      <w:r w:rsidR="00BA0488">
        <w:instrText xml:space="preserve"> \* MERGEFORMAT </w:instrText>
      </w:r>
      <w:r w:rsidR="00BA0488" w:rsidRPr="00BA0488">
        <w:fldChar w:fldCharType="separate"/>
      </w:r>
      <w:r w:rsidR="00BA0488" w:rsidRPr="00BA0488">
        <w:t xml:space="preserve">Figure </w:t>
      </w:r>
      <w:r w:rsidR="00BA0488" w:rsidRPr="00BA0488">
        <w:rPr>
          <w:noProof/>
        </w:rPr>
        <w:t>1</w:t>
      </w:r>
      <w:r w:rsidR="00BA0488" w:rsidRPr="00BA0488">
        <w:fldChar w:fldCharType="end"/>
      </w:r>
      <w:r w:rsidR="00EC3ACA" w:rsidRPr="00BA0488">
        <w:t xml:space="preserve">. </w:t>
      </w:r>
      <w:r w:rsidR="006166FB">
        <w:t>Unlike for DL, however, UL MIMO may need to be implemented differently depending on the duplexing scheme.</w:t>
      </w:r>
    </w:p>
    <w:p w14:paraId="0C4EB79E" w14:textId="423B5A80" w:rsidR="006A3055" w:rsidRDefault="006A3055" w:rsidP="006A3055">
      <w:pPr>
        <w:spacing w:before="60" w:after="60" w:line="288" w:lineRule="auto"/>
        <w:ind w:firstLine="446"/>
        <w:jc w:val="both"/>
      </w:pPr>
      <w:r w:rsidRPr="00F67546">
        <w:rPr>
          <w:i/>
        </w:rPr>
        <w:t>Dynamic beamforming</w:t>
      </w:r>
      <w:r>
        <w:t xml:space="preserve"> is especially applicable when accurate UL-CSI is available at an eNB or UE (for instance, low UE speeds and good cell isolation or inter-cell interference coordination). In this case, the UE can transmit data through a narrow directional beam since accurate directional information is accessible. For FDD, the eNB can signal a choice of precoding vector/matrix (or vectors/matrices) to a UE via a DL control channel, such as an UL grant. Upon receiving such precoding information, the UE shall use the associated precoder to transmit the requested UL data to the eNB. This precoding information is updated dynamically by the eNB. </w:t>
      </w:r>
    </w:p>
    <w:p w14:paraId="0924E899" w14:textId="17A31D51" w:rsidR="006A3055" w:rsidRDefault="006A3055" w:rsidP="00306629">
      <w:pPr>
        <w:spacing w:before="60" w:after="60" w:line="288" w:lineRule="auto"/>
        <w:ind w:firstLine="446"/>
        <w:jc w:val="both"/>
      </w:pPr>
      <w:r w:rsidRPr="00F67546">
        <w:rPr>
          <w:i/>
        </w:rPr>
        <w:t>Semi-dynamic beamforming</w:t>
      </w:r>
      <w:r>
        <w:t xml:space="preserve"> is</w:t>
      </w:r>
      <w:r w:rsidRPr="0047010E">
        <w:t xml:space="preserve"> </w:t>
      </w:r>
      <w:r>
        <w:t xml:space="preserve">especially applicable when UL-CSI quality is impaired at the eNB or UE (for instance, high UE speeds and poor cell isolation which causes bursty inter-cell interference known as the flash-light effect). In this case, it is more advantageous for the eNB to transmit data through a group of directional beams since the UE can only indicate an approximate (or a range of) directional information. For this purpose, precoder (beam) cycling within a group of beams in frequency domain can be employed. </w:t>
      </w:r>
      <w:r w:rsidR="00397077">
        <w:t xml:space="preserve">This cycling pattern can either be fixed or </w:t>
      </w:r>
      <w:r>
        <w:t>signal</w:t>
      </w:r>
      <w:r w:rsidR="00397077">
        <w:t>l</w:t>
      </w:r>
      <w:r>
        <w:t xml:space="preserve">ed to the UE. </w:t>
      </w:r>
      <w:r w:rsidR="000B0B95">
        <w:t>The same codebook can be used for both dynamic and semi-dynamic beamforming.</w:t>
      </w:r>
    </w:p>
    <w:p w14:paraId="64F33D42" w14:textId="127A1AA0" w:rsidR="00C76326" w:rsidRDefault="00CF1911" w:rsidP="00C76326">
      <w:pPr>
        <w:spacing w:before="60" w:after="60" w:line="288" w:lineRule="auto"/>
        <w:jc w:val="center"/>
      </w:pPr>
      <w:r>
        <w:object w:dxaOrig="9179" w:dyaOrig="6585" w14:anchorId="17AED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32.55pt" o:ole="">
            <v:imagedata r:id="rId9" o:title=""/>
          </v:shape>
          <o:OLEObject Type="Embed" ProgID="Visio.Drawing.11" ShapeID="_x0000_i1025" DrawAspect="Content" ObjectID="_1524297896" r:id="rId10"/>
        </w:object>
      </w:r>
    </w:p>
    <w:p w14:paraId="7B6D77C6" w14:textId="4BB7E9DE" w:rsidR="00397F57" w:rsidRPr="001D51D6" w:rsidRDefault="00397F57" w:rsidP="00397F57">
      <w:pPr>
        <w:pStyle w:val="Caption"/>
        <w:jc w:val="center"/>
        <w:rPr>
          <w:b w:val="0"/>
          <w:sz w:val="18"/>
        </w:rPr>
      </w:pPr>
      <w:bookmarkStart w:id="9" w:name="_Ref446632390"/>
      <w:bookmarkStart w:id="10" w:name="_Ref446632384"/>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9"/>
      <w:r w:rsidRPr="001D51D6">
        <w:rPr>
          <w:sz w:val="18"/>
        </w:rPr>
        <w:t xml:space="preserve"> </w:t>
      </w:r>
      <w:r>
        <w:rPr>
          <w:b w:val="0"/>
          <w:sz w:val="18"/>
        </w:rPr>
        <w:t>UL MIMO</w:t>
      </w:r>
      <w:r w:rsidRPr="001D51D6">
        <w:rPr>
          <w:b w:val="0"/>
          <w:sz w:val="18"/>
        </w:rPr>
        <w:t xml:space="preserve"> transmission scheme: dynamic and semi-dynamic beamforming</w:t>
      </w:r>
      <w:bookmarkEnd w:id="10"/>
    </w:p>
    <w:p w14:paraId="78B87450" w14:textId="77777777" w:rsidR="00397F57" w:rsidRDefault="00397F57" w:rsidP="00C76326">
      <w:pPr>
        <w:spacing w:before="60" w:after="60" w:line="288" w:lineRule="auto"/>
        <w:jc w:val="center"/>
      </w:pPr>
    </w:p>
    <w:p w14:paraId="6D487A73" w14:textId="34D072B3" w:rsidR="00B239F3" w:rsidRDefault="00B239F3" w:rsidP="00B239F3">
      <w:pPr>
        <w:pStyle w:val="Heading2"/>
      </w:pPr>
      <w:bookmarkStart w:id="11" w:name="_Ref450308041"/>
      <w:r>
        <w:t>Precoding support</w:t>
      </w:r>
      <w:bookmarkEnd w:id="11"/>
    </w:p>
    <w:p w14:paraId="0B65F927" w14:textId="1CD3A577" w:rsidR="00B239F3" w:rsidRDefault="00B239F3" w:rsidP="00B239F3">
      <w:pPr>
        <w:spacing w:before="60" w:after="60" w:line="288" w:lineRule="auto"/>
        <w:ind w:firstLine="446"/>
        <w:jc w:val="both"/>
      </w:pPr>
      <w:r>
        <w:t xml:space="preserve">To support </w:t>
      </w:r>
      <w:r w:rsidRPr="00991A6E">
        <w:t>dynamic beamforming</w:t>
      </w:r>
      <w:r>
        <w:t xml:space="preserve">, a codebook-based MIMO transmission can be used where an UL grant (containing a relevant DCI) includes a single precoding information (PMI) field (along with RI). This PMI indicates the single precoding matrix used by the UE for the scheduled UL transmission. Therefore, one precoder or beamformed is applied to all scheduled PRBs for that UE (“wideband” or </w:t>
      </w:r>
      <w:r w:rsidRPr="00F0475E">
        <w:rPr>
          <w:i/>
        </w:rPr>
        <w:t>frequency non-selective precoding</w:t>
      </w:r>
      <w:r>
        <w:t>). This feature is supported in Rel.10 LTE where DCI format 4 is used for this purpose. Therefore, this scheme can be readily borrowed for NR.</w:t>
      </w:r>
    </w:p>
    <w:p w14:paraId="274DD1D2" w14:textId="77777777" w:rsidR="00F0475E" w:rsidRDefault="00F0475E" w:rsidP="00B239F3">
      <w:pPr>
        <w:spacing w:before="60" w:after="60" w:line="288" w:lineRule="auto"/>
        <w:ind w:firstLine="446"/>
        <w:jc w:val="both"/>
      </w:pPr>
      <w:r>
        <w:t xml:space="preserve">Frequency non-selective precoding tends to perform well when a UE is allocated a small number of contiguous RBs. For other cases, however, frequency non-selective precoding is suboptimal. For instance, when the UL system bandwidth is large or a UE is allocated several clusters of RBs, using a single precoding vector/matrix will result in significant performance loss. </w:t>
      </w:r>
    </w:p>
    <w:p w14:paraId="71A8B75A" w14:textId="77777777" w:rsidR="001A6415" w:rsidRDefault="00F0475E" w:rsidP="00B239F3">
      <w:pPr>
        <w:spacing w:before="60" w:after="60" w:line="288" w:lineRule="auto"/>
        <w:ind w:firstLine="446"/>
        <w:jc w:val="both"/>
      </w:pPr>
      <w:r>
        <w:t xml:space="preserve">For this reason, supporting </w:t>
      </w:r>
      <w:r w:rsidRPr="00F0475E">
        <w:rPr>
          <w:i/>
        </w:rPr>
        <w:t>frequency selective precoding</w:t>
      </w:r>
      <w:r>
        <w:t xml:space="preserve"> for UL NR-MIMO</w:t>
      </w:r>
      <w:r w:rsidR="00B904F3">
        <w:t xml:space="preserve"> is beneficial. The main difficulty, however, is associated </w:t>
      </w:r>
      <w:r w:rsidR="001A6415">
        <w:t xml:space="preserve">with </w:t>
      </w:r>
      <w:r w:rsidR="00B904F3">
        <w:t>DL signalling. If this signalling is performed as a part of DCI, the required overhead increases since the number of PMIs increases with larger resource allocations.</w:t>
      </w:r>
      <w:r w:rsidR="001A6415">
        <w:t xml:space="preserve"> Therefore, the number of PMIs per DCI should be limited to avoid excessive DL signalling overhead. Such a trade-off needs to be further studied.   </w:t>
      </w:r>
      <w:r w:rsidR="00B904F3">
        <w:t xml:space="preserve">  </w:t>
      </w:r>
    </w:p>
    <w:p w14:paraId="23B7A650" w14:textId="74001025" w:rsidR="00F0475E" w:rsidRDefault="001A6415" w:rsidP="00B239F3">
      <w:pPr>
        <w:spacing w:before="60" w:after="60" w:line="288" w:lineRule="auto"/>
        <w:ind w:firstLine="446"/>
        <w:jc w:val="both"/>
      </w:pPr>
      <w:r>
        <w:t xml:space="preserve">For semi-dynamic beamforming, although a group of (hence multiple) precoding vectors/matrices are used for precoder cycling, signalling multiple PMIs on a DCI is not needed. Instead, one PMI field which indicates a selection of precoder group can be used – if the precoder group information is to be signalled dynamically. </w:t>
      </w:r>
      <w:r w:rsidR="00B904F3">
        <w:t xml:space="preserve"> </w:t>
      </w:r>
      <w:r w:rsidR="00F0475E">
        <w:t xml:space="preserve">      </w:t>
      </w:r>
    </w:p>
    <w:p w14:paraId="2FB344DF" w14:textId="77777777" w:rsidR="00B239F3" w:rsidRDefault="00B239F3" w:rsidP="001A6415">
      <w:pPr>
        <w:spacing w:before="60" w:after="60" w:line="288" w:lineRule="auto"/>
      </w:pPr>
    </w:p>
    <w:p w14:paraId="168EBD65" w14:textId="375D899A" w:rsidR="00234252" w:rsidRPr="00317BEA" w:rsidRDefault="00B239F3" w:rsidP="00234252">
      <w:pPr>
        <w:pStyle w:val="Heading2"/>
      </w:pPr>
      <w:r>
        <w:t>UL MIMO for TDD</w:t>
      </w:r>
    </w:p>
    <w:p w14:paraId="6281F14E" w14:textId="02ECAF8D" w:rsidR="00C76326" w:rsidRDefault="001A6415" w:rsidP="001A6415">
      <w:pPr>
        <w:spacing w:before="60" w:after="60" w:line="288" w:lineRule="auto"/>
        <w:ind w:firstLine="446"/>
        <w:jc w:val="both"/>
      </w:pPr>
      <w:r>
        <w:t xml:space="preserve">The design issues discussed in sections </w:t>
      </w:r>
      <w:r>
        <w:fldChar w:fldCharType="begin"/>
      </w:r>
      <w:r>
        <w:instrText xml:space="preserve"> REF _Ref450308028 \r \h  \* MERGEFORMAT </w:instrText>
      </w:r>
      <w:r>
        <w:fldChar w:fldCharType="separate"/>
      </w:r>
      <w:r>
        <w:t>3.1</w:t>
      </w:r>
      <w:r>
        <w:fldChar w:fldCharType="end"/>
      </w:r>
      <w:r>
        <w:t xml:space="preserve"> and </w:t>
      </w:r>
      <w:r>
        <w:fldChar w:fldCharType="begin"/>
      </w:r>
      <w:r>
        <w:instrText xml:space="preserve"> REF _Ref450308041 \r \h  \* MERGEFORMAT </w:instrText>
      </w:r>
      <w:r>
        <w:fldChar w:fldCharType="separate"/>
      </w:r>
      <w:r>
        <w:t>3.2</w:t>
      </w:r>
      <w:r>
        <w:fldChar w:fldCharType="end"/>
      </w:r>
      <w:r w:rsidR="00C94D1B">
        <w:t xml:space="preserve"> </w:t>
      </w:r>
      <w:r>
        <w:t>are readily applicable to FDD.</w:t>
      </w:r>
    </w:p>
    <w:p w14:paraId="2C215BB3" w14:textId="7D712307" w:rsidR="00B904F3" w:rsidRDefault="00B904F3" w:rsidP="001A6415">
      <w:pPr>
        <w:spacing w:before="60" w:after="60" w:line="288" w:lineRule="auto"/>
        <w:ind w:firstLine="443"/>
        <w:jc w:val="both"/>
        <w:rPr>
          <w:lang w:eastAsia="ko-KR"/>
        </w:rPr>
      </w:pPr>
      <w:r>
        <w:rPr>
          <w:lang w:eastAsia="ko-KR"/>
        </w:rPr>
        <w:t xml:space="preserve">When UL-DL reciprocity is feasible such as for TDD scenarios, a UE can obtain an estimate of UL channel from measuring DL CSI-RS. In this case, the UE can calculate its own precoder for a given resource allocation. This </w:t>
      </w:r>
      <w:r w:rsidR="001A6415">
        <w:rPr>
          <w:lang w:eastAsia="ko-KR"/>
        </w:rPr>
        <w:t>seems to obviate</w:t>
      </w:r>
      <w:r>
        <w:rPr>
          <w:lang w:eastAsia="ko-KR"/>
        </w:rPr>
        <w:t xml:space="preserve"> the need for signal</w:t>
      </w:r>
      <w:r w:rsidR="004D2F85">
        <w:rPr>
          <w:lang w:eastAsia="ko-KR"/>
        </w:rPr>
        <w:t>l</w:t>
      </w:r>
      <w:r>
        <w:rPr>
          <w:lang w:eastAsia="ko-KR"/>
        </w:rPr>
        <w:t>ing a precoder information DCI field via a DL control channel</w:t>
      </w:r>
      <w:r w:rsidR="00C94D1B">
        <w:rPr>
          <w:lang w:eastAsia="ko-KR"/>
        </w:rPr>
        <w:t xml:space="preserve"> and require no additional DL control overhead</w:t>
      </w:r>
      <w:r>
        <w:rPr>
          <w:lang w:eastAsia="ko-KR"/>
        </w:rPr>
        <w:t xml:space="preserve">. </w:t>
      </w:r>
    </w:p>
    <w:p w14:paraId="41BC717C" w14:textId="4C69C54C" w:rsidR="00B904F3" w:rsidRDefault="00B904F3" w:rsidP="00C94D1B">
      <w:pPr>
        <w:spacing w:before="60" w:after="60" w:line="288" w:lineRule="auto"/>
        <w:ind w:firstLine="443"/>
        <w:jc w:val="both"/>
        <w:rPr>
          <w:lang w:eastAsia="ko-KR"/>
        </w:rPr>
      </w:pPr>
      <w:r>
        <w:rPr>
          <w:lang w:eastAsia="ko-KR"/>
        </w:rPr>
        <w:t>It should be noted, however, that although the UE is capable of obtaining an estimate of UL channel to derive its precoder, this precoder calculation can be inaccurate due to the absence of UL interference information (primarily intra-cell interference, which can only be obtained at the eNB). This is especially relevant when UL multi-user MIMO (MU-</w:t>
      </w:r>
      <w:r>
        <w:rPr>
          <w:lang w:eastAsia="ko-KR"/>
        </w:rPr>
        <w:lastRenderedPageBreak/>
        <w:t xml:space="preserve">MIMO). </w:t>
      </w:r>
      <w:r w:rsidR="00C94D1B">
        <w:rPr>
          <w:lang w:eastAsia="ko-KR"/>
        </w:rPr>
        <w:t xml:space="preserve">In this case, the eNB-centric precoder calculation together with DL signalling (as discussed in sections </w:t>
      </w:r>
      <w:r w:rsidR="00C94D1B">
        <w:fldChar w:fldCharType="begin"/>
      </w:r>
      <w:r w:rsidR="00C94D1B">
        <w:instrText xml:space="preserve"> REF _Ref450308028 \r \h  \* MERGEFORMAT </w:instrText>
      </w:r>
      <w:r w:rsidR="00C94D1B">
        <w:fldChar w:fldCharType="separate"/>
      </w:r>
      <w:r w:rsidR="00C94D1B">
        <w:t>3.1</w:t>
      </w:r>
      <w:r w:rsidR="00C94D1B">
        <w:fldChar w:fldCharType="end"/>
      </w:r>
      <w:r w:rsidR="00C94D1B">
        <w:t xml:space="preserve"> and </w:t>
      </w:r>
      <w:r w:rsidR="00C94D1B">
        <w:fldChar w:fldCharType="begin"/>
      </w:r>
      <w:r w:rsidR="00C94D1B">
        <w:instrText xml:space="preserve"> REF _Ref450308041 \r \h  \* MERGEFORMAT </w:instrText>
      </w:r>
      <w:r w:rsidR="00C94D1B">
        <w:fldChar w:fldCharType="separate"/>
      </w:r>
      <w:r w:rsidR="00C94D1B">
        <w:t>3.2</w:t>
      </w:r>
      <w:r w:rsidR="00C94D1B">
        <w:fldChar w:fldCharType="end"/>
      </w:r>
      <w:r w:rsidR="00C94D1B">
        <w:rPr>
          <w:lang w:eastAsia="ko-KR"/>
        </w:rPr>
        <w:t xml:space="preserve">) can be used. </w:t>
      </w:r>
    </w:p>
    <w:p w14:paraId="0D0FD065" w14:textId="6CBCFF1F" w:rsidR="008518C2" w:rsidRDefault="00C94D1B" w:rsidP="001A6415">
      <w:pPr>
        <w:spacing w:before="60" w:after="60" w:line="288" w:lineRule="auto"/>
        <w:ind w:firstLine="446"/>
        <w:jc w:val="both"/>
      </w:pPr>
      <w:r>
        <w:t xml:space="preserve">Therefore, the use of CSI-RS for estimating UL CSI via reciprocity still needs to be investigated for TDD. If UL CSI can be reliably estimated via CSI-RS, there is no need to include precoder information in the DCI field. </w:t>
      </w:r>
    </w:p>
    <w:p w14:paraId="242225E1" w14:textId="77777777" w:rsidR="00C94D1B" w:rsidRDefault="00C94D1B" w:rsidP="001A6415">
      <w:pPr>
        <w:spacing w:before="60" w:after="60" w:line="288" w:lineRule="auto"/>
        <w:ind w:firstLine="446"/>
        <w:jc w:val="both"/>
      </w:pPr>
    </w:p>
    <w:p w14:paraId="11BF92C2" w14:textId="77777777" w:rsidR="003976FE" w:rsidRPr="00234252" w:rsidRDefault="003976FE" w:rsidP="00234252">
      <w:pPr>
        <w:pStyle w:val="Heading2"/>
        <w:numPr>
          <w:ilvl w:val="0"/>
          <w:numId w:val="1"/>
        </w:numPr>
        <w:rPr>
          <w:sz w:val="28"/>
        </w:rPr>
      </w:pPr>
      <w:r w:rsidRPr="00234252">
        <w:rPr>
          <w:sz w:val="28"/>
        </w:rPr>
        <w:t>Reference signals</w:t>
      </w:r>
    </w:p>
    <w:p w14:paraId="7D6DD51E" w14:textId="1B1E0868" w:rsidR="003273E7" w:rsidRDefault="003273E7" w:rsidP="003273E7">
      <w:pPr>
        <w:spacing w:before="60" w:after="60" w:line="288" w:lineRule="auto"/>
        <w:ind w:firstLine="450"/>
        <w:jc w:val="both"/>
      </w:pPr>
      <w:r>
        <w:t>Similar to Rel.10 LTE, uplink channel measurement and demodulation are facilitated by SRS and UL DMRS</w:t>
      </w:r>
      <w:r w:rsidR="00744BB3">
        <w:t>, respectively</w:t>
      </w:r>
      <w:r>
        <w:t>. In terms of functionalities, they are expected to share the framework offered by LTE except for the following additions.</w:t>
      </w:r>
    </w:p>
    <w:p w14:paraId="7995EC63" w14:textId="77777777" w:rsidR="00D06D97" w:rsidRDefault="003273E7" w:rsidP="003273E7">
      <w:pPr>
        <w:spacing w:before="60" w:after="60" w:line="288" w:lineRule="auto"/>
        <w:ind w:firstLine="450"/>
        <w:jc w:val="both"/>
      </w:pPr>
      <w:r>
        <w:t>To facilitate DL CSI measurement at the eNB for TDD</w:t>
      </w:r>
      <w:r w:rsidR="00D06D97">
        <w:t xml:space="preserve"> (in addition to UL channel measurement)</w:t>
      </w:r>
      <w:r>
        <w:t xml:space="preserve">, </w:t>
      </w:r>
      <w:r w:rsidR="00D06D97" w:rsidRPr="00744BB3">
        <w:t>SRS</w:t>
      </w:r>
      <w:r w:rsidR="00D06D97">
        <w:t xml:space="preserve"> should be designed</w:t>
      </w:r>
      <w:r>
        <w:t xml:space="preserve"> </w:t>
      </w:r>
      <w:r w:rsidR="00D06D97">
        <w:t xml:space="preserve">to </w:t>
      </w:r>
      <w:r>
        <w:t>offer a maximum of 8 ports</w:t>
      </w:r>
      <w:r w:rsidR="00D06D97">
        <w:t>. This allows the eNB to measure DL CSI assuming 8 RX antennas. For this reason, high SRS capacity is expected.</w:t>
      </w:r>
    </w:p>
    <w:p w14:paraId="079A81FD" w14:textId="6A3539F2" w:rsidR="003976FE" w:rsidRDefault="00D06D97" w:rsidP="003273E7">
      <w:pPr>
        <w:spacing w:before="60" w:after="60" w:line="288" w:lineRule="auto"/>
        <w:ind w:firstLine="450"/>
        <w:jc w:val="both"/>
      </w:pPr>
      <w:r>
        <w:t>In addition, while both periodic and aperiodic SRS can be supported, it is proposed that aperiodic SRS be the default SRS operation especially for high-</w:t>
      </w:r>
      <w:r w:rsidR="00465F1F">
        <w:t>spatial-</w:t>
      </w:r>
      <w:r>
        <w:t>resolution UL channel measurement. Similar reasoning applies: efficiency in SRS resource utilization and reducing unnecessary interference. Periodic SRS is used primarily to maintain the link.</w:t>
      </w:r>
    </w:p>
    <w:p w14:paraId="4D79694D" w14:textId="77777777" w:rsidR="00D06D97" w:rsidRDefault="00D06D97" w:rsidP="0039247A">
      <w:pPr>
        <w:spacing w:before="60" w:after="60" w:line="288" w:lineRule="auto"/>
        <w:ind w:firstLine="450"/>
        <w:jc w:val="both"/>
      </w:pPr>
      <w:r>
        <w:t xml:space="preserve">To facilitate UL demodulation, UL DMRS is designed with a maximum of 4 ports per UE. Needless to say, UL DMRS should also be designed with UL MU-MIMO in mind.   </w:t>
      </w:r>
    </w:p>
    <w:p w14:paraId="45C9971F" w14:textId="77777777" w:rsidR="003976FE" w:rsidRDefault="003976FE" w:rsidP="003273E7">
      <w:pPr>
        <w:spacing w:before="60" w:after="60" w:line="288" w:lineRule="auto"/>
        <w:jc w:val="both"/>
        <w:rPr>
          <w:b/>
          <w:i/>
        </w:rPr>
      </w:pPr>
    </w:p>
    <w:p w14:paraId="50484890" w14:textId="340D0298" w:rsidR="00234252" w:rsidRPr="00234252" w:rsidRDefault="00234252" w:rsidP="00234252">
      <w:pPr>
        <w:pStyle w:val="Heading2"/>
        <w:numPr>
          <w:ilvl w:val="0"/>
          <w:numId w:val="1"/>
        </w:numPr>
        <w:rPr>
          <w:sz w:val="28"/>
        </w:rPr>
      </w:pPr>
      <w:r>
        <w:rPr>
          <w:sz w:val="28"/>
        </w:rPr>
        <w:t>Conclusions</w:t>
      </w:r>
    </w:p>
    <w:p w14:paraId="0365A424" w14:textId="1BED536E" w:rsidR="00A30119" w:rsidRPr="00BA0488" w:rsidRDefault="00E468B7" w:rsidP="00BA0488">
      <w:pPr>
        <w:pStyle w:val="2222"/>
        <w:spacing w:after="120" w:line="288" w:lineRule="auto"/>
        <w:ind w:firstLineChars="0" w:firstLine="450"/>
        <w:rPr>
          <w:lang w:eastAsia="ko-KR"/>
        </w:rPr>
      </w:pPr>
      <w:r>
        <w:rPr>
          <w:lang w:eastAsia="ko-KR"/>
        </w:rPr>
        <w:t xml:space="preserve">In this contribution, Samsung’s view </w:t>
      </w:r>
      <w:r w:rsidR="003522F9">
        <w:rPr>
          <w:lang w:eastAsia="ko-KR"/>
        </w:rPr>
        <w:t xml:space="preserve">on </w:t>
      </w:r>
      <w:r>
        <w:rPr>
          <w:lang w:eastAsia="ko-KR"/>
        </w:rPr>
        <w:t xml:space="preserve">UL MIMO for new </w:t>
      </w:r>
      <w:r w:rsidR="0062531F">
        <w:rPr>
          <w:lang w:eastAsia="ko-KR"/>
        </w:rPr>
        <w:t>radio</w:t>
      </w:r>
      <w:r>
        <w:rPr>
          <w:lang w:eastAsia="ko-KR"/>
        </w:rPr>
        <w:t xml:space="preserve"> interface (NR) is presented. </w:t>
      </w:r>
      <w:r w:rsidR="00BA0488">
        <w:rPr>
          <w:lang w:eastAsia="ko-KR"/>
        </w:rPr>
        <w:t xml:space="preserve">It is proposed that </w:t>
      </w:r>
      <w:r w:rsidR="00AC76CF" w:rsidRPr="00A30119">
        <w:rPr>
          <w:i/>
        </w:rPr>
        <w:t>UL NR MIMO</w:t>
      </w:r>
      <w:r w:rsidR="00AC76CF" w:rsidRPr="00DA5683">
        <w:rPr>
          <w:b/>
          <w:i/>
        </w:rPr>
        <w:t xml:space="preserve"> </w:t>
      </w:r>
      <w:r w:rsidR="00BA0488" w:rsidRPr="00BA0488">
        <w:rPr>
          <w:i/>
        </w:rPr>
        <w:t>be</w:t>
      </w:r>
      <w:r w:rsidR="00BA0488">
        <w:rPr>
          <w:b/>
          <w:i/>
        </w:rPr>
        <w:t xml:space="preserve"> </w:t>
      </w:r>
      <w:r w:rsidR="00AC76CF" w:rsidRPr="00DA5683">
        <w:rPr>
          <w:i/>
        </w:rPr>
        <w:t>enabled by the following components:</w:t>
      </w:r>
    </w:p>
    <w:p w14:paraId="441BD97A" w14:textId="16FCF3A6" w:rsidR="00ED53B0" w:rsidRDefault="00ED53B0" w:rsidP="00A30119">
      <w:pPr>
        <w:pStyle w:val="ListParagraph"/>
        <w:numPr>
          <w:ilvl w:val="0"/>
          <w:numId w:val="22"/>
        </w:numPr>
        <w:spacing w:before="60" w:after="60" w:line="288" w:lineRule="auto"/>
        <w:ind w:leftChars="0"/>
        <w:jc w:val="both"/>
        <w:rPr>
          <w:i/>
        </w:rPr>
      </w:pPr>
      <w:r>
        <w:rPr>
          <w:i/>
        </w:rPr>
        <w:t xml:space="preserve">OFDMA-centric design focusing </w:t>
      </w:r>
      <w:r w:rsidR="00744BB3">
        <w:rPr>
          <w:i/>
        </w:rPr>
        <w:t xml:space="preserve">primarily </w:t>
      </w:r>
      <w:r>
        <w:rPr>
          <w:i/>
        </w:rPr>
        <w:t>on eMBB and URLLC use cases</w:t>
      </w:r>
    </w:p>
    <w:p w14:paraId="1E4522E4" w14:textId="77777777" w:rsidR="00A30119" w:rsidRDefault="00AC76CF" w:rsidP="00A30119">
      <w:pPr>
        <w:pStyle w:val="ListParagraph"/>
        <w:numPr>
          <w:ilvl w:val="0"/>
          <w:numId w:val="22"/>
        </w:numPr>
        <w:spacing w:before="60" w:after="60" w:line="288" w:lineRule="auto"/>
        <w:ind w:leftChars="0"/>
        <w:jc w:val="both"/>
        <w:rPr>
          <w:i/>
        </w:rPr>
      </w:pPr>
      <w:r w:rsidRPr="00A30119">
        <w:rPr>
          <w:i/>
        </w:rPr>
        <w:t xml:space="preserve">Dynamic and semi-dynamic beamforming transmission schemes </w:t>
      </w:r>
    </w:p>
    <w:p w14:paraId="0608BA1C" w14:textId="5C4DF15C" w:rsidR="00BA0488" w:rsidRDefault="00BA0488" w:rsidP="00A30119">
      <w:pPr>
        <w:pStyle w:val="ListParagraph"/>
        <w:numPr>
          <w:ilvl w:val="1"/>
          <w:numId w:val="22"/>
        </w:numPr>
        <w:spacing w:before="60" w:after="60" w:line="288" w:lineRule="auto"/>
        <w:ind w:leftChars="0"/>
        <w:jc w:val="both"/>
        <w:rPr>
          <w:i/>
        </w:rPr>
      </w:pPr>
      <w:r>
        <w:rPr>
          <w:i/>
        </w:rPr>
        <w:t>Dynamic beamforming: analogous</w:t>
      </w:r>
      <w:r w:rsidR="00AC76CF" w:rsidRPr="00A30119">
        <w:rPr>
          <w:i/>
        </w:rPr>
        <w:t xml:space="preserve"> to Rel.10 L</w:t>
      </w:r>
      <w:r>
        <w:rPr>
          <w:i/>
        </w:rPr>
        <w:t>TE codebook-based transmission</w:t>
      </w:r>
    </w:p>
    <w:p w14:paraId="35312D91" w14:textId="18F733BF" w:rsidR="00BA0488" w:rsidRPr="00744BB3" w:rsidRDefault="00BA0488" w:rsidP="00BA0488">
      <w:pPr>
        <w:pStyle w:val="ListParagraph"/>
        <w:numPr>
          <w:ilvl w:val="2"/>
          <w:numId w:val="22"/>
        </w:numPr>
        <w:spacing w:before="60" w:after="60" w:line="288" w:lineRule="auto"/>
        <w:ind w:leftChars="0"/>
        <w:jc w:val="both"/>
        <w:rPr>
          <w:i/>
        </w:rPr>
      </w:pPr>
      <w:r w:rsidRPr="00744BB3">
        <w:rPr>
          <w:i/>
        </w:rPr>
        <w:t>Frequency non-selective precoding: same as Rel.10 LTE</w:t>
      </w:r>
    </w:p>
    <w:p w14:paraId="59ED55D7" w14:textId="4B575D72" w:rsidR="00BA0488" w:rsidRPr="001A6415" w:rsidRDefault="00BA0488" w:rsidP="00B239F3">
      <w:pPr>
        <w:pStyle w:val="ListParagraph"/>
        <w:numPr>
          <w:ilvl w:val="2"/>
          <w:numId w:val="22"/>
        </w:numPr>
        <w:spacing w:before="60" w:after="60" w:line="288" w:lineRule="auto"/>
        <w:ind w:leftChars="0"/>
        <w:jc w:val="both"/>
        <w:rPr>
          <w:i/>
        </w:rPr>
      </w:pPr>
      <w:r w:rsidRPr="001A6415">
        <w:rPr>
          <w:i/>
        </w:rPr>
        <w:t>Frequency-selective precoding:</w:t>
      </w:r>
      <w:r w:rsidR="001A6415">
        <w:rPr>
          <w:i/>
        </w:rPr>
        <w:t xml:space="preserve"> multiple PMIs in a DCI depending on resource allocation</w:t>
      </w:r>
      <w:r w:rsidRPr="001A6415">
        <w:rPr>
          <w:i/>
        </w:rPr>
        <w:t xml:space="preserve"> </w:t>
      </w:r>
    </w:p>
    <w:p w14:paraId="21F8E28D" w14:textId="5E4CC9F2" w:rsidR="00BA0488" w:rsidRDefault="00BA0488" w:rsidP="00BA0488">
      <w:pPr>
        <w:pStyle w:val="ListParagraph"/>
        <w:numPr>
          <w:ilvl w:val="1"/>
          <w:numId w:val="22"/>
        </w:numPr>
        <w:spacing w:before="60" w:after="60" w:line="288" w:lineRule="auto"/>
        <w:ind w:leftChars="0"/>
        <w:jc w:val="both"/>
        <w:rPr>
          <w:i/>
        </w:rPr>
      </w:pPr>
      <w:r>
        <w:rPr>
          <w:i/>
        </w:rPr>
        <w:t xml:space="preserve">Semi-dynamic beamforming: </w:t>
      </w:r>
      <w:r w:rsidR="00AC76CF" w:rsidRPr="00A30119">
        <w:rPr>
          <w:i/>
        </w:rPr>
        <w:t>precoder cycling in frequency domain</w:t>
      </w:r>
      <w:r w:rsidR="00B239F3">
        <w:rPr>
          <w:i/>
        </w:rPr>
        <w:t>, same codebook as dynamic beamforming</w:t>
      </w:r>
      <w:r w:rsidR="00AC76CF" w:rsidRPr="00A30119">
        <w:rPr>
          <w:i/>
        </w:rPr>
        <w:t xml:space="preserve"> </w:t>
      </w:r>
    </w:p>
    <w:p w14:paraId="545941C5" w14:textId="0A8BFB7E" w:rsidR="00C94D1B" w:rsidRPr="00BA0488" w:rsidRDefault="00C94D1B" w:rsidP="00BA0488">
      <w:pPr>
        <w:pStyle w:val="ListParagraph"/>
        <w:numPr>
          <w:ilvl w:val="1"/>
          <w:numId w:val="22"/>
        </w:numPr>
        <w:spacing w:before="60" w:after="60" w:line="288" w:lineRule="auto"/>
        <w:ind w:leftChars="0"/>
        <w:jc w:val="both"/>
        <w:rPr>
          <w:i/>
        </w:rPr>
      </w:pPr>
      <w:r>
        <w:rPr>
          <w:i/>
        </w:rPr>
        <w:t>For TDD, whether CSI-RS can be used for estimating UL CSI needs to be further studied</w:t>
      </w:r>
    </w:p>
    <w:p w14:paraId="5B66E236" w14:textId="77777777" w:rsidR="00A30119" w:rsidRDefault="003522F9" w:rsidP="00A30119">
      <w:pPr>
        <w:pStyle w:val="ListParagraph"/>
        <w:numPr>
          <w:ilvl w:val="0"/>
          <w:numId w:val="22"/>
        </w:numPr>
        <w:spacing w:before="60" w:after="60" w:line="288" w:lineRule="auto"/>
        <w:ind w:leftChars="0"/>
        <w:jc w:val="both"/>
        <w:rPr>
          <w:i/>
        </w:rPr>
      </w:pPr>
      <w:r w:rsidRPr="00A30119">
        <w:rPr>
          <w:i/>
        </w:rPr>
        <w:t>Reuse reference signal framework from Rel.10</w:t>
      </w:r>
      <w:r w:rsidR="00A30119" w:rsidRPr="00A30119">
        <w:rPr>
          <w:i/>
        </w:rPr>
        <w:t xml:space="preserve"> but redesigned for OFDMA</w:t>
      </w:r>
      <w:r w:rsidR="00AC76CF" w:rsidRPr="00A30119">
        <w:rPr>
          <w:i/>
        </w:rPr>
        <w:t xml:space="preserve"> </w:t>
      </w:r>
    </w:p>
    <w:p w14:paraId="31C1D792" w14:textId="77777777" w:rsidR="00A30119" w:rsidRDefault="003522F9" w:rsidP="00A30119">
      <w:pPr>
        <w:pStyle w:val="ListParagraph"/>
        <w:numPr>
          <w:ilvl w:val="1"/>
          <w:numId w:val="22"/>
        </w:numPr>
        <w:spacing w:before="60" w:after="60" w:line="288" w:lineRule="auto"/>
        <w:ind w:leftChars="0"/>
        <w:jc w:val="both"/>
        <w:rPr>
          <w:i/>
        </w:rPr>
      </w:pPr>
      <w:r w:rsidRPr="00A30119">
        <w:rPr>
          <w:i/>
        </w:rPr>
        <w:t>SRS with a m</w:t>
      </w:r>
      <w:r w:rsidR="00AC76CF" w:rsidRPr="00A30119">
        <w:rPr>
          <w:i/>
        </w:rPr>
        <w:t>aximum of 8 ports to facilitate DL NR MIMO for TDD</w:t>
      </w:r>
    </w:p>
    <w:p w14:paraId="2CDCB149" w14:textId="77777777" w:rsidR="00A30119" w:rsidRDefault="00AC76CF" w:rsidP="00A30119">
      <w:pPr>
        <w:pStyle w:val="ListParagraph"/>
        <w:numPr>
          <w:ilvl w:val="1"/>
          <w:numId w:val="22"/>
        </w:numPr>
        <w:spacing w:before="60" w:after="60" w:line="288" w:lineRule="auto"/>
        <w:ind w:leftChars="0"/>
        <w:jc w:val="both"/>
        <w:rPr>
          <w:i/>
        </w:rPr>
      </w:pPr>
      <w:r w:rsidRPr="00A30119">
        <w:rPr>
          <w:i/>
        </w:rPr>
        <w:t>Aperiodic SRS as the defa</w:t>
      </w:r>
      <w:r w:rsidR="003522F9" w:rsidRPr="00A30119">
        <w:rPr>
          <w:i/>
        </w:rPr>
        <w:t>ult SRS operation, e.g. for hi</w:t>
      </w:r>
      <w:r w:rsidRPr="00A30119">
        <w:rPr>
          <w:i/>
        </w:rPr>
        <w:t>-r</w:t>
      </w:r>
      <w:r w:rsidR="003522F9" w:rsidRPr="00A30119">
        <w:rPr>
          <w:i/>
        </w:rPr>
        <w:t>es</w:t>
      </w:r>
      <w:r w:rsidRPr="00A30119">
        <w:rPr>
          <w:i/>
        </w:rPr>
        <w:t xml:space="preserve"> UL channel measurement</w:t>
      </w:r>
      <w:r w:rsidR="003522F9" w:rsidRPr="00A30119">
        <w:rPr>
          <w:i/>
        </w:rPr>
        <w:t>, complemented by periodic SRS for, e.g. lo-res measurement</w:t>
      </w:r>
    </w:p>
    <w:p w14:paraId="7A83CD3C" w14:textId="298A1975" w:rsidR="00AC76CF" w:rsidRPr="00A30119" w:rsidRDefault="000D63AD" w:rsidP="00A30119">
      <w:pPr>
        <w:pStyle w:val="ListParagraph"/>
        <w:numPr>
          <w:ilvl w:val="1"/>
          <w:numId w:val="22"/>
        </w:numPr>
        <w:spacing w:before="60" w:after="60" w:line="288" w:lineRule="auto"/>
        <w:ind w:leftChars="0"/>
        <w:jc w:val="both"/>
        <w:rPr>
          <w:i/>
        </w:rPr>
      </w:pPr>
      <w:r w:rsidRPr="00A30119">
        <w:rPr>
          <w:i/>
        </w:rPr>
        <w:t>UL DMRS with a m</w:t>
      </w:r>
      <w:r w:rsidR="00AC76CF" w:rsidRPr="00A30119">
        <w:rPr>
          <w:i/>
        </w:rPr>
        <w:t>aximum of 4 ports per UE, designed to facilitate UL MU-MIMO</w:t>
      </w:r>
    </w:p>
    <w:p w14:paraId="7D7DFC4E" w14:textId="77777777" w:rsidR="003273E7" w:rsidRPr="00E468B7" w:rsidRDefault="003273E7" w:rsidP="00AC76CF">
      <w:pPr>
        <w:pStyle w:val="2222"/>
        <w:spacing w:after="120" w:line="288" w:lineRule="auto"/>
        <w:ind w:firstLineChars="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549887AC" w14:textId="77777777" w:rsidR="00296E64" w:rsidRPr="00E8614A" w:rsidRDefault="00F50EF1" w:rsidP="001D607B">
      <w:pPr>
        <w:pStyle w:val="2222"/>
        <w:numPr>
          <w:ilvl w:val="0"/>
          <w:numId w:val="5"/>
        </w:numPr>
        <w:spacing w:after="120" w:line="288"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p>
    <w:p w14:paraId="600E920D" w14:textId="4A9D05D4" w:rsidR="00E8614A" w:rsidRPr="001824F5" w:rsidRDefault="00E8614A" w:rsidP="001824F5">
      <w:pPr>
        <w:pStyle w:val="2222"/>
        <w:numPr>
          <w:ilvl w:val="0"/>
          <w:numId w:val="5"/>
        </w:numPr>
        <w:spacing w:after="120" w:line="288" w:lineRule="auto"/>
        <w:ind w:left="357" w:firstLineChars="0" w:hanging="357"/>
        <w:rPr>
          <w:rFonts w:cs="Times New Roman"/>
          <w:lang w:eastAsia="ko-KR"/>
        </w:rPr>
      </w:pPr>
      <w:bookmarkStart w:id="12" w:name="_Ref450262804"/>
      <w:r>
        <w:rPr>
          <w:rFonts w:cs="Times New Roman"/>
          <w:lang w:eastAsia="ko-KR"/>
        </w:rPr>
        <w:t>R1</w:t>
      </w:r>
      <w:r w:rsidRPr="003F00C5">
        <w:rPr>
          <w:rFonts w:cs="Times New Roman"/>
          <w:lang w:eastAsia="ko-KR"/>
        </w:rPr>
        <w:t>-16</w:t>
      </w:r>
      <w:r>
        <w:rPr>
          <w:rFonts w:cs="Times New Roman"/>
          <w:lang w:eastAsia="ko-KR"/>
        </w:rPr>
        <w:t>4017</w:t>
      </w:r>
      <w:r w:rsidRPr="003F00C5">
        <w:rPr>
          <w:rFonts w:cs="Times New Roman"/>
          <w:lang w:eastAsia="ko-KR"/>
        </w:rPr>
        <w:t xml:space="preserve">, </w:t>
      </w:r>
      <w:r>
        <w:rPr>
          <w:rFonts w:eastAsia="Batang" w:cs="Times New Roman"/>
          <w:lang w:eastAsia="zh-CN"/>
        </w:rPr>
        <w:t>DL MIMO framework for NR, Samsung.</w:t>
      </w:r>
      <w:bookmarkEnd w:id="12"/>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7B514" w14:textId="77777777" w:rsidR="00713F3B" w:rsidRDefault="00713F3B">
      <w:r>
        <w:separator/>
      </w:r>
    </w:p>
  </w:endnote>
  <w:endnote w:type="continuationSeparator" w:id="0">
    <w:p w14:paraId="6E14A626" w14:textId="77777777" w:rsidR="00713F3B" w:rsidRDefault="0071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DE943" w14:textId="77777777" w:rsidR="00713F3B" w:rsidRDefault="00713F3B">
      <w:r>
        <w:separator/>
      </w:r>
    </w:p>
  </w:footnote>
  <w:footnote w:type="continuationSeparator" w:id="0">
    <w:p w14:paraId="7928EA62" w14:textId="77777777" w:rsidR="00713F3B" w:rsidRDefault="00713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5">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10"/>
  </w:num>
  <w:num w:numId="3">
    <w:abstractNumId w:val="17"/>
  </w:num>
  <w:num w:numId="4">
    <w:abstractNumId w:val="21"/>
  </w:num>
  <w:num w:numId="5">
    <w:abstractNumId w:val="1"/>
  </w:num>
  <w:num w:numId="6">
    <w:abstractNumId w:val="19"/>
  </w:num>
  <w:num w:numId="7">
    <w:abstractNumId w:val="12"/>
  </w:num>
  <w:num w:numId="8">
    <w:abstractNumId w:val="20"/>
  </w:num>
  <w:num w:numId="9">
    <w:abstractNumId w:val="16"/>
  </w:num>
  <w:num w:numId="10">
    <w:abstractNumId w:val="9"/>
  </w:num>
  <w:num w:numId="11">
    <w:abstractNumId w:val="18"/>
  </w:num>
  <w:num w:numId="12">
    <w:abstractNumId w:val="0"/>
  </w:num>
  <w:num w:numId="13">
    <w:abstractNumId w:val="6"/>
  </w:num>
  <w:num w:numId="14">
    <w:abstractNumId w:val="3"/>
  </w:num>
  <w:num w:numId="15">
    <w:abstractNumId w:val="7"/>
  </w:num>
  <w:num w:numId="16">
    <w:abstractNumId w:val="13"/>
  </w:num>
  <w:num w:numId="17">
    <w:abstractNumId w:val="15"/>
  </w:num>
  <w:num w:numId="18">
    <w:abstractNumId w:val="8"/>
  </w:num>
  <w:num w:numId="19">
    <w:abstractNumId w:val="4"/>
  </w:num>
  <w:num w:numId="20">
    <w:abstractNumId w:val="2"/>
  </w:num>
  <w:num w:numId="21">
    <w:abstractNumId w:val="14"/>
  </w:num>
  <w:num w:numId="22">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26F5"/>
    <w:rsid w:val="00073C42"/>
    <w:rsid w:val="000755B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1D31"/>
    <w:rsid w:val="000A26F4"/>
    <w:rsid w:val="000A5315"/>
    <w:rsid w:val="000A591F"/>
    <w:rsid w:val="000A6336"/>
    <w:rsid w:val="000A77A6"/>
    <w:rsid w:val="000B0B95"/>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A6415"/>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54D6"/>
    <w:rsid w:val="002A74D6"/>
    <w:rsid w:val="002B3B3B"/>
    <w:rsid w:val="002B4C6E"/>
    <w:rsid w:val="002B52C6"/>
    <w:rsid w:val="002B57DB"/>
    <w:rsid w:val="002B6BDA"/>
    <w:rsid w:val="002B71B0"/>
    <w:rsid w:val="002C0B30"/>
    <w:rsid w:val="002C0D28"/>
    <w:rsid w:val="002C1230"/>
    <w:rsid w:val="002C256F"/>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AAE"/>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0BF0"/>
    <w:rsid w:val="006A25EB"/>
    <w:rsid w:val="006A2D38"/>
    <w:rsid w:val="006A3055"/>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4BB3"/>
    <w:rsid w:val="00746D48"/>
    <w:rsid w:val="00750E72"/>
    <w:rsid w:val="00753A41"/>
    <w:rsid w:val="00755AD7"/>
    <w:rsid w:val="00756864"/>
    <w:rsid w:val="00760CE8"/>
    <w:rsid w:val="00761697"/>
    <w:rsid w:val="007625EC"/>
    <w:rsid w:val="007658A6"/>
    <w:rsid w:val="00766BA8"/>
    <w:rsid w:val="00771F90"/>
    <w:rsid w:val="0077429E"/>
    <w:rsid w:val="00775769"/>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18C2"/>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0C43"/>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1062"/>
    <w:rsid w:val="009446EA"/>
    <w:rsid w:val="00947445"/>
    <w:rsid w:val="009502CE"/>
    <w:rsid w:val="0095220B"/>
    <w:rsid w:val="00952316"/>
    <w:rsid w:val="00952B7C"/>
    <w:rsid w:val="009532C0"/>
    <w:rsid w:val="00954215"/>
    <w:rsid w:val="00954A84"/>
    <w:rsid w:val="009564A8"/>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2A90"/>
    <w:rsid w:val="00A14A77"/>
    <w:rsid w:val="00A16523"/>
    <w:rsid w:val="00A17773"/>
    <w:rsid w:val="00A207CA"/>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16CD"/>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1B"/>
    <w:rsid w:val="00C9621E"/>
    <w:rsid w:val="00CA18DB"/>
    <w:rsid w:val="00CA1F5C"/>
    <w:rsid w:val="00CA220D"/>
    <w:rsid w:val="00CA22E2"/>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FA2"/>
    <w:rsid w:val="00D611F3"/>
    <w:rsid w:val="00D61897"/>
    <w:rsid w:val="00D63046"/>
    <w:rsid w:val="00D65BEE"/>
    <w:rsid w:val="00D66AA4"/>
    <w:rsid w:val="00D675D0"/>
    <w:rsid w:val="00D701A1"/>
    <w:rsid w:val="00D71842"/>
    <w:rsid w:val="00D72E1A"/>
    <w:rsid w:val="00D74EF6"/>
    <w:rsid w:val="00D8023F"/>
    <w:rsid w:val="00D820D1"/>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034"/>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AE9"/>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549F0-2292-4661-A55C-973595CC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4</Pages>
  <Words>1661</Words>
  <Characters>9470</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72</cp:revision>
  <cp:lastPrinted>2012-03-15T10:36:00Z</cp:lastPrinted>
  <dcterms:created xsi:type="dcterms:W3CDTF">2016-03-28T23:29:00Z</dcterms:created>
  <dcterms:modified xsi:type="dcterms:W3CDTF">2016-05-09T15:40:00Z</dcterms:modified>
</cp:coreProperties>
</file>